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rPr>
        <w:t>1+X证书（支付、返款、用餐申请、考务费</w:t>
      </w:r>
      <w:r>
        <w:rPr>
          <w:rFonts w:hint="eastAsia" w:ascii="微软雅黑" w:hAnsi="微软雅黑" w:eastAsia="微软雅黑" w:cs="微软雅黑"/>
          <w:b/>
          <w:bCs/>
          <w:sz w:val="24"/>
          <w:szCs w:val="24"/>
          <w:lang w:val="en-US" w:eastAsia="zh-CN"/>
        </w:rPr>
        <w:t>结</w:t>
      </w:r>
      <w:r>
        <w:rPr>
          <w:rFonts w:hint="eastAsia" w:ascii="微软雅黑" w:hAnsi="微软雅黑" w:eastAsia="微软雅黑" w:cs="微软雅黑"/>
          <w:b/>
          <w:bCs/>
          <w:sz w:val="24"/>
          <w:szCs w:val="24"/>
        </w:rPr>
        <w:t>算）</w:t>
      </w:r>
      <w:r>
        <w:rPr>
          <w:rFonts w:hint="eastAsia" w:ascii="微软雅黑" w:hAnsi="微软雅黑" w:eastAsia="微软雅黑" w:cs="微软雅黑"/>
          <w:b/>
          <w:bCs/>
          <w:sz w:val="24"/>
          <w:szCs w:val="24"/>
          <w:lang w:val="en-US" w:eastAsia="zh-CN"/>
        </w:rPr>
        <w:t>指引</w:t>
      </w:r>
    </w:p>
    <w:p>
      <w:pPr>
        <w:numPr>
          <w:ilvl w:val="0"/>
          <w:numId w:val="0"/>
        </w:numPr>
        <w:rPr>
          <w:rFonts w:hint="eastAsia" w:ascii="微软雅黑" w:hAnsi="微软雅黑" w:eastAsia="微软雅黑" w:cs="微软雅黑"/>
          <w:b/>
          <w:bCs/>
          <w:color w:val="0000FF"/>
          <w:sz w:val="24"/>
          <w:szCs w:val="24"/>
          <w:lang w:val="en-US" w:eastAsia="zh-CN"/>
        </w:rPr>
      </w:pPr>
      <w:r>
        <w:rPr>
          <w:rFonts w:hint="eastAsia" w:ascii="微软雅黑" w:hAnsi="微软雅黑" w:eastAsia="微软雅黑" w:cs="微软雅黑"/>
          <w:b/>
          <w:bCs/>
          <w:color w:val="0000FF"/>
          <w:sz w:val="24"/>
          <w:szCs w:val="24"/>
          <w:lang w:val="en-US" w:eastAsia="zh-CN"/>
        </w:rPr>
        <w:t>一、向企业支付报考费用报销指引</w:t>
      </w:r>
    </w:p>
    <w:p>
      <w:pPr>
        <w:numPr>
          <w:ilvl w:val="0"/>
          <w:numId w:val="0"/>
        </w:numPr>
        <w:ind w:firstLine="210" w:firstLineChars="100"/>
        <w:rPr>
          <w:rFonts w:hint="eastAsia"/>
          <w:lang w:val="en-US" w:eastAsia="zh-CN"/>
        </w:rPr>
      </w:pPr>
    </w:p>
    <w:p>
      <w:pPr>
        <w:numPr>
          <w:ilvl w:val="0"/>
          <w:numId w:val="0"/>
        </w:numPr>
        <w:ind w:firstLine="210" w:firstLineChars="100"/>
        <w:rPr>
          <w:rFonts w:hint="eastAsia"/>
          <w:lang w:val="en-US" w:eastAsia="zh-CN"/>
        </w:rPr>
      </w:pPr>
      <w:r>
        <w:rPr>
          <w:rFonts w:hint="eastAsia"/>
          <w:lang w:val="en-US" w:eastAsia="zh-CN"/>
        </w:rPr>
        <w:t xml:space="preserve">1、需提交以下资料 </w:t>
      </w:r>
    </w:p>
    <w:tbl>
      <w:tblPr>
        <w:tblStyle w:val="5"/>
        <w:tblpPr w:leftFromText="180" w:rightFromText="180" w:vertAnchor="text" w:horzAnchor="page" w:tblpX="1779" w:tblpY="204"/>
        <w:tblOverlap w:val="never"/>
        <w:tblW w:w="6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5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028" w:type="dxa"/>
            <w:vAlign w:val="center"/>
          </w:tcPr>
          <w:p>
            <w:pPr>
              <w:numPr>
                <w:ilvl w:val="0"/>
                <w:numId w:val="0"/>
              </w:numPr>
              <w:jc w:val="center"/>
              <w:rPr>
                <w:rFonts w:hint="eastAsia"/>
                <w:b/>
                <w:bCs/>
                <w:vertAlign w:val="baseline"/>
                <w:lang w:val="en-US" w:eastAsia="zh-CN"/>
              </w:rPr>
            </w:pPr>
            <w:r>
              <w:rPr>
                <w:rFonts w:hint="eastAsia"/>
                <w:b/>
                <w:bCs/>
                <w:vertAlign w:val="baseline"/>
                <w:lang w:val="en-US" w:eastAsia="zh-CN"/>
              </w:rPr>
              <w:t>序号</w:t>
            </w:r>
          </w:p>
        </w:tc>
        <w:tc>
          <w:tcPr>
            <w:tcW w:w="5872" w:type="dxa"/>
            <w:vAlign w:val="center"/>
          </w:tcPr>
          <w:p>
            <w:pPr>
              <w:numPr>
                <w:ilvl w:val="0"/>
                <w:numId w:val="0"/>
              </w:numPr>
              <w:jc w:val="center"/>
              <w:rPr>
                <w:rFonts w:hint="eastAsia"/>
                <w:b/>
                <w:bCs/>
                <w:vertAlign w:val="baseline"/>
                <w:lang w:val="en-US" w:eastAsia="zh-CN"/>
              </w:rPr>
            </w:pPr>
            <w:r>
              <w:rPr>
                <w:rFonts w:hint="eastAsia"/>
                <w:b/>
                <w:bCs/>
                <w:vertAlign w:val="baseline"/>
                <w:lang w:val="en-US" w:eastAsia="zh-CN"/>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028" w:type="dxa"/>
            <w:vAlign w:val="center"/>
          </w:tcPr>
          <w:p>
            <w:pPr>
              <w:numPr>
                <w:ilvl w:val="0"/>
                <w:numId w:val="0"/>
              </w:numPr>
              <w:jc w:val="center"/>
              <w:rPr>
                <w:rFonts w:hint="eastAsia"/>
                <w:vertAlign w:val="baseline"/>
                <w:lang w:val="en-US" w:eastAsia="zh-CN"/>
              </w:rPr>
            </w:pPr>
            <w:r>
              <w:rPr>
                <w:rFonts w:hint="eastAsia"/>
                <w:vertAlign w:val="baseline"/>
                <w:lang w:val="en-US" w:eastAsia="zh-CN"/>
              </w:rPr>
              <w:t>1</w:t>
            </w:r>
          </w:p>
        </w:tc>
        <w:tc>
          <w:tcPr>
            <w:tcW w:w="5872" w:type="dxa"/>
            <w:vAlign w:val="center"/>
          </w:tcPr>
          <w:p>
            <w:pPr>
              <w:numPr>
                <w:ilvl w:val="0"/>
                <w:numId w:val="0"/>
              </w:numPr>
              <w:jc w:val="both"/>
              <w:rPr>
                <w:rFonts w:hint="eastAsia"/>
                <w:vertAlign w:val="baseline"/>
                <w:lang w:val="en-US" w:eastAsia="zh-CN"/>
              </w:rPr>
            </w:pPr>
            <w:r>
              <w:rPr>
                <w:rFonts w:hint="eastAsia"/>
                <w:vertAlign w:val="baseline"/>
                <w:lang w:val="en-US" w:eastAsia="zh-CN"/>
              </w:rPr>
              <w:t>学校OA发布的该证书考试通知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1028" w:type="dxa"/>
            <w:vAlign w:val="center"/>
          </w:tcPr>
          <w:p>
            <w:pPr>
              <w:numPr>
                <w:ilvl w:val="0"/>
                <w:numId w:val="0"/>
              </w:numPr>
              <w:jc w:val="center"/>
              <w:rPr>
                <w:rFonts w:hint="eastAsia"/>
                <w:vertAlign w:val="baseline"/>
                <w:lang w:val="en-US" w:eastAsia="zh-CN"/>
              </w:rPr>
            </w:pPr>
            <w:r>
              <w:rPr>
                <w:rFonts w:hint="eastAsia"/>
                <w:vertAlign w:val="baseline"/>
                <w:lang w:val="en-US" w:eastAsia="zh-CN"/>
              </w:rPr>
              <w:t>2</w:t>
            </w:r>
          </w:p>
        </w:tc>
        <w:tc>
          <w:tcPr>
            <w:tcW w:w="5872" w:type="dxa"/>
            <w:vAlign w:val="center"/>
          </w:tcPr>
          <w:p>
            <w:pPr>
              <w:numPr>
                <w:ilvl w:val="0"/>
                <w:numId w:val="0"/>
              </w:numPr>
              <w:jc w:val="both"/>
              <w:rPr>
                <w:rFonts w:hint="eastAsia"/>
                <w:vertAlign w:val="baseline"/>
                <w:lang w:val="en-US" w:eastAsia="zh-CN"/>
              </w:rPr>
            </w:pPr>
            <w:r>
              <w:rPr>
                <w:rFonts w:hint="eastAsia"/>
                <w:vertAlign w:val="baseline"/>
                <w:lang w:val="en-US" w:eastAsia="zh-CN"/>
              </w:rPr>
              <w:t>**年证书名称（级别）1+X证书报考情况表</w:t>
            </w:r>
            <w:r>
              <w:rPr>
                <w:rFonts w:hint="eastAsia"/>
                <w:vertAlign w:val="baseline"/>
                <w:lang w:val="en-US" w:eastAsia="zh-CN"/>
              </w:rPr>
              <w:br w:type="textWrapping"/>
            </w:r>
            <w:r>
              <w:rPr>
                <w:rFonts w:hint="eastAsia"/>
                <w:vertAlign w:val="baseline"/>
                <w:lang w:val="en-US" w:eastAsia="zh-CN"/>
              </w:rPr>
              <w:t>如：2023年跨境电商B2C数据运营（中级）报考情况表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1028" w:type="dxa"/>
            <w:vAlign w:val="center"/>
          </w:tcPr>
          <w:p>
            <w:pPr>
              <w:numPr>
                <w:ilvl w:val="0"/>
                <w:numId w:val="0"/>
              </w:numPr>
              <w:jc w:val="center"/>
              <w:rPr>
                <w:rFonts w:hint="eastAsia"/>
                <w:vertAlign w:val="baseline"/>
                <w:lang w:val="en-US" w:eastAsia="zh-CN"/>
              </w:rPr>
            </w:pPr>
            <w:r>
              <w:rPr>
                <w:rFonts w:hint="eastAsia"/>
                <w:vertAlign w:val="baseline"/>
                <w:lang w:val="en-US" w:eastAsia="zh-CN"/>
              </w:rPr>
              <w:t>3</w:t>
            </w:r>
          </w:p>
        </w:tc>
        <w:tc>
          <w:tcPr>
            <w:tcW w:w="5872" w:type="dxa"/>
            <w:vAlign w:val="center"/>
          </w:tcPr>
          <w:p>
            <w:pPr>
              <w:numPr>
                <w:ilvl w:val="0"/>
                <w:numId w:val="0"/>
              </w:numPr>
              <w:jc w:val="both"/>
              <w:rPr>
                <w:rFonts w:hint="eastAsia"/>
                <w:vertAlign w:val="baseline"/>
                <w:lang w:val="en-US" w:eastAsia="zh-CN"/>
              </w:rPr>
            </w:pPr>
            <w:r>
              <w:rPr>
                <w:rFonts w:hint="eastAsia"/>
                <w:vertAlign w:val="baseline"/>
                <w:lang w:val="en-US" w:eastAsia="zh-CN"/>
              </w:rPr>
              <w:t>发票（根据报考人数*协议规定的证书标准开具）</w:t>
            </w:r>
          </w:p>
        </w:tc>
      </w:tr>
    </w:tbl>
    <w:p>
      <w:pPr>
        <w:numPr>
          <w:ilvl w:val="0"/>
          <w:numId w:val="0"/>
        </w:numPr>
        <w:rPr>
          <w:rFonts w:hint="eastAsia"/>
          <w:lang w:val="en-US" w:eastAsia="zh-CN"/>
        </w:rPr>
      </w:pPr>
    </w:p>
    <w:p>
      <w:pPr>
        <w:numPr>
          <w:ilvl w:val="0"/>
          <w:numId w:val="0"/>
        </w:numPr>
        <w:rPr>
          <w:rFonts w:hint="eastAsia"/>
          <w:vertAlign w:val="baseline"/>
          <w:lang w:val="en-US" w:eastAsia="zh-CN"/>
        </w:rPr>
      </w:pPr>
      <w:r>
        <w:rPr>
          <w:rFonts w:hint="eastAsia"/>
          <w:lang w:val="en-US" w:eastAsia="zh-CN"/>
        </w:rPr>
        <w:t xml:space="preserve">     </w:t>
      </w: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ind w:firstLine="420" w:firstLineChars="200"/>
        <w:rPr>
          <w:rFonts w:hint="eastAsia"/>
          <w:lang w:val="en-US" w:eastAsia="zh-CN"/>
        </w:rPr>
      </w:pPr>
    </w:p>
    <w:p>
      <w:pPr>
        <w:numPr>
          <w:ilvl w:val="0"/>
          <w:numId w:val="0"/>
        </w:numPr>
        <w:ind w:firstLine="420" w:firstLineChars="200"/>
        <w:rPr>
          <w:rFonts w:hint="eastAsia" w:ascii="宋体" w:hAnsi="宋体" w:eastAsia="宋体" w:cs="宋体"/>
          <w:sz w:val="24"/>
          <w:szCs w:val="24"/>
          <w:lang w:val="en-US" w:eastAsia="zh-CN"/>
        </w:rPr>
      </w:pPr>
      <w:r>
        <w:rPr>
          <w:rFonts w:hint="eastAsia"/>
          <w:lang w:val="en-US" w:eastAsia="zh-CN"/>
        </w:rPr>
        <w:t>以上资料项目负责人收集后命名为“</w:t>
      </w:r>
      <w:r>
        <w:rPr>
          <w:rFonts w:hint="eastAsia"/>
          <w:vertAlign w:val="baseline"/>
          <w:lang w:val="en-US" w:eastAsia="zh-CN"/>
        </w:rPr>
        <w:t>**年证书名称（级别）1+X证书</w:t>
      </w:r>
      <w:r>
        <w:rPr>
          <w:rFonts w:hint="eastAsia"/>
          <w:lang w:val="en-US" w:eastAsia="zh-CN"/>
        </w:rPr>
        <w:t>支付资料”通过OA协同至教务处（自定义流程：经办人—教务处廖宏英老师）提交。</w:t>
      </w:r>
    </w:p>
    <w:p>
      <w:pPr>
        <w:numPr>
          <w:ilvl w:val="0"/>
          <w:numId w:val="0"/>
        </w:numPr>
        <w:rPr>
          <w:rFonts w:ascii="宋体" w:hAnsi="宋体" w:eastAsia="宋体" w:cs="宋体"/>
          <w:sz w:val="24"/>
          <w:szCs w:val="24"/>
        </w:rPr>
      </w:pPr>
    </w:p>
    <w:p>
      <w:pPr>
        <w:numPr>
          <w:ilvl w:val="0"/>
          <w:numId w:val="0"/>
        </w:numPr>
        <w:rPr>
          <w:rFonts w:hint="eastAsia"/>
          <w:lang w:val="en-US" w:eastAsia="zh-CN"/>
        </w:rPr>
      </w:pPr>
      <w:r>
        <w:rPr>
          <w:rFonts w:hint="eastAsia"/>
          <w:lang w:val="en-US" w:eastAsia="zh-CN"/>
        </w:rPr>
        <w:t>（1）学校OA发布考试通知如下图</w:t>
      </w:r>
      <w:bookmarkStart w:id="0" w:name="_GoBack"/>
      <w:bookmarkEnd w:id="0"/>
    </w:p>
    <w:p>
      <w:pPr>
        <w:widowControl w:val="0"/>
        <w:numPr>
          <w:ilvl w:val="0"/>
          <w:numId w:val="0"/>
        </w:numPr>
        <w:jc w:val="both"/>
        <w:rPr>
          <w:rFonts w:hint="default"/>
          <w:lang w:val="en-US" w:eastAsia="zh-CN"/>
        </w:rPr>
      </w:pPr>
      <w:r>
        <w:rPr>
          <w:rFonts w:ascii="宋体" w:hAnsi="宋体" w:eastAsia="宋体" w:cs="宋体"/>
          <w:sz w:val="24"/>
          <w:szCs w:val="24"/>
        </w:rPr>
        <w:drawing>
          <wp:inline distT="0" distB="0" distL="114300" distR="114300">
            <wp:extent cx="5419725" cy="4991100"/>
            <wp:effectExtent l="0" t="0" r="9525"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4"/>
                    <a:stretch>
                      <a:fillRect/>
                    </a:stretch>
                  </pic:blipFill>
                  <pic:spPr>
                    <a:xfrm>
                      <a:off x="0" y="0"/>
                      <a:ext cx="5419725" cy="4991100"/>
                    </a:xfrm>
                    <a:prstGeom prst="rect">
                      <a:avLst/>
                    </a:prstGeom>
                    <a:noFill/>
                    <a:ln w="9525">
                      <a:noFill/>
                    </a:ln>
                  </pic:spPr>
                </pic:pic>
              </a:graphicData>
            </a:graphic>
          </wp:inline>
        </w:drawing>
      </w:r>
    </w:p>
    <w:p>
      <w:pPr>
        <w:widowControl w:val="0"/>
        <w:numPr>
          <w:ilvl w:val="0"/>
          <w:numId w:val="0"/>
        </w:numPr>
        <w:jc w:val="both"/>
        <w:rPr>
          <w:rFonts w:hint="default"/>
          <w:lang w:val="en-US" w:eastAsia="zh-CN"/>
        </w:rPr>
      </w:pPr>
    </w:p>
    <w:p>
      <w:pPr>
        <w:numPr>
          <w:ilvl w:val="0"/>
          <w:numId w:val="0"/>
        </w:numPr>
        <w:rPr>
          <w:rFonts w:hint="eastAsia"/>
          <w:lang w:val="en-US" w:eastAsia="zh-CN"/>
        </w:rPr>
      </w:pPr>
    </w:p>
    <w:p>
      <w:pPr>
        <w:numPr>
          <w:ilvl w:val="0"/>
          <w:numId w:val="0"/>
        </w:numPr>
        <w:rPr>
          <w:rFonts w:hint="eastAsia"/>
          <w:sz w:val="24"/>
          <w:szCs w:val="24"/>
          <w:lang w:val="en-US" w:eastAsia="zh-CN"/>
        </w:rPr>
      </w:pPr>
      <w:r>
        <w:rPr>
          <w:rFonts w:hint="eastAsia"/>
          <w:sz w:val="24"/>
          <w:szCs w:val="24"/>
          <w:lang w:val="en-US" w:eastAsia="zh-CN"/>
        </w:rPr>
        <w:t>（2）2023年跨境电商B2C数据运营（中级）报考情况表见下图</w:t>
      </w:r>
    </w:p>
    <w:p>
      <w:pPr>
        <w:numPr>
          <w:ilvl w:val="0"/>
          <w:numId w:val="0"/>
        </w:numPr>
        <w:rPr>
          <w:rFonts w:hint="eastAsia"/>
          <w:lang w:val="en-US" w:eastAsia="zh-CN"/>
        </w:rPr>
      </w:pPr>
    </w:p>
    <w:p>
      <w:pPr>
        <w:numPr>
          <w:ilvl w:val="0"/>
          <w:numId w:val="0"/>
        </w:numPr>
        <w:rPr>
          <w:rFonts w:hint="eastAsia"/>
          <w:lang w:val="en-US" w:eastAsia="zh-CN"/>
        </w:rPr>
      </w:pPr>
      <w:r>
        <w:rPr>
          <w:rFonts w:ascii="宋体" w:hAnsi="宋体" w:eastAsia="宋体" w:cs="宋体"/>
          <w:sz w:val="24"/>
          <w:szCs w:val="24"/>
        </w:rPr>
        <w:drawing>
          <wp:inline distT="0" distB="0" distL="114300" distR="114300">
            <wp:extent cx="5207000" cy="2482850"/>
            <wp:effectExtent l="0" t="0" r="12700" b="1270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5207000" cy="2482850"/>
                    </a:xfrm>
                    <a:prstGeom prst="rect">
                      <a:avLst/>
                    </a:prstGeom>
                    <a:noFill/>
                    <a:ln w="9525">
                      <a:noFill/>
                    </a:ln>
                  </pic:spPr>
                </pic:pic>
              </a:graphicData>
            </a:graphic>
          </wp:inline>
        </w:drawing>
      </w:r>
    </w:p>
    <w:p>
      <w:pPr>
        <w:numPr>
          <w:ilvl w:val="0"/>
          <w:numId w:val="0"/>
        </w:numPr>
        <w:rPr>
          <w:rFonts w:hint="eastAsia"/>
          <w:lang w:val="en-US" w:eastAsia="zh-CN"/>
        </w:rPr>
      </w:pP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上图实收费用为学生因考第二证书需通过学校统一支付平台所交的费用，应交费用为学校为学生支付的证书费用。项目负责人需和企业核对实收和应交费用的学生名单及人数。企业根据此表的总计金额开具发票。</w:t>
      </w:r>
    </w:p>
    <w:p>
      <w:pPr>
        <w:numPr>
          <w:ilvl w:val="0"/>
          <w:numId w:val="0"/>
        </w:numPr>
        <w:rPr>
          <w:rFonts w:hint="eastAsia" w:ascii="宋体" w:hAnsi="宋体" w:eastAsia="宋体" w:cs="宋体"/>
          <w:sz w:val="24"/>
          <w:szCs w:val="24"/>
          <w:lang w:val="en-US" w:eastAsia="zh-CN"/>
        </w:rPr>
      </w:pP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（3）发票如下图</w:t>
      </w:r>
    </w:p>
    <w:p>
      <w:pPr>
        <w:numPr>
          <w:ilvl w:val="0"/>
          <w:numId w:val="0"/>
        </w:numPr>
        <w:rPr>
          <w:rFonts w:hint="eastAsia" w:ascii="宋体" w:hAnsi="宋体" w:eastAsia="宋体" w:cs="宋体"/>
          <w:sz w:val="24"/>
          <w:szCs w:val="24"/>
          <w:lang w:val="en-US" w:eastAsia="zh-CN"/>
        </w:rPr>
      </w:pPr>
    </w:p>
    <w:p>
      <w:pPr>
        <w:numPr>
          <w:ilvl w:val="0"/>
          <w:numId w:val="0"/>
        </w:numPr>
        <w:rPr>
          <w:rFonts w:ascii="宋体" w:hAnsi="宋体" w:eastAsia="宋体" w:cs="宋体"/>
          <w:sz w:val="24"/>
          <w:szCs w:val="24"/>
        </w:rPr>
      </w:pPr>
      <w:r>
        <w:rPr>
          <w:rFonts w:ascii="宋体" w:hAnsi="宋体" w:eastAsia="宋体" w:cs="宋体"/>
          <w:sz w:val="24"/>
          <w:szCs w:val="24"/>
        </w:rPr>
        <w:drawing>
          <wp:inline distT="0" distB="0" distL="114300" distR="114300">
            <wp:extent cx="5977890" cy="3836035"/>
            <wp:effectExtent l="0" t="0" r="3810" b="12065"/>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6"/>
                    <a:stretch>
                      <a:fillRect/>
                    </a:stretch>
                  </pic:blipFill>
                  <pic:spPr>
                    <a:xfrm>
                      <a:off x="0" y="0"/>
                      <a:ext cx="5977890" cy="3836035"/>
                    </a:xfrm>
                    <a:prstGeom prst="rect">
                      <a:avLst/>
                    </a:prstGeom>
                    <a:noFill/>
                    <a:ln w="9525">
                      <a:noFill/>
                    </a:ln>
                  </pic:spPr>
                </pic:pic>
              </a:graphicData>
            </a:graphic>
          </wp:inline>
        </w:drawing>
      </w:r>
    </w:p>
    <w:p>
      <w:pPr>
        <w:numPr>
          <w:ilvl w:val="0"/>
          <w:numId w:val="0"/>
        </w:numPr>
        <w:rPr>
          <w:rFonts w:ascii="宋体" w:hAnsi="宋体" w:eastAsia="宋体" w:cs="宋体"/>
          <w:sz w:val="24"/>
          <w:szCs w:val="24"/>
        </w:rPr>
      </w:pPr>
    </w:p>
    <w:p>
      <w:pPr>
        <w:numPr>
          <w:ilvl w:val="0"/>
          <w:numId w:val="0"/>
        </w:numPr>
        <w:tabs>
          <w:tab w:val="left" w:pos="2537"/>
        </w:tabs>
        <w:ind w:leftChars="0"/>
        <w:jc w:val="both"/>
        <w:rPr>
          <w:rFonts w:hint="eastAsia" w:ascii="微软雅黑" w:hAnsi="微软雅黑" w:eastAsia="微软雅黑" w:cs="微软雅黑"/>
          <w:b/>
          <w:bCs/>
          <w:i w:val="0"/>
          <w:caps w:val="0"/>
          <w:color w:val="0000FF"/>
          <w:spacing w:val="0"/>
          <w:kern w:val="0"/>
          <w:sz w:val="24"/>
          <w:szCs w:val="24"/>
          <w:shd w:val="clear" w:fill="FFFFFF"/>
          <w:lang w:val="en-US" w:eastAsia="zh-CN" w:bidi="ar"/>
        </w:rPr>
      </w:pPr>
      <w:r>
        <w:rPr>
          <w:rFonts w:hint="eastAsia" w:ascii="微软雅黑" w:hAnsi="微软雅黑" w:eastAsia="微软雅黑" w:cs="微软雅黑"/>
          <w:b/>
          <w:bCs/>
          <w:i w:val="0"/>
          <w:caps w:val="0"/>
          <w:color w:val="0000FF"/>
          <w:spacing w:val="0"/>
          <w:kern w:val="0"/>
          <w:sz w:val="24"/>
          <w:szCs w:val="24"/>
          <w:shd w:val="clear" w:fill="FFFFFF"/>
          <w:lang w:val="en-US" w:eastAsia="zh-CN" w:bidi="ar"/>
        </w:rPr>
        <w:t>二、催企业返款指引</w:t>
      </w:r>
    </w:p>
    <w:p>
      <w:pPr>
        <w:numPr>
          <w:ilvl w:val="0"/>
          <w:numId w:val="0"/>
        </w:numPr>
        <w:tabs>
          <w:tab w:val="left" w:pos="2537"/>
        </w:tabs>
        <w:ind w:leftChars="0" w:firstLine="720" w:firstLineChars="300"/>
        <w:jc w:val="both"/>
        <w:rPr>
          <w:rFonts w:hint="eastAsia" w:ascii="微软雅黑" w:hAnsi="微软雅黑" w:eastAsia="微软雅黑" w:cs="微软雅黑"/>
          <w:i w:val="0"/>
          <w:caps w:val="0"/>
          <w:color w:val="auto"/>
          <w:spacing w:val="0"/>
          <w:kern w:val="0"/>
          <w:sz w:val="24"/>
          <w:szCs w:val="24"/>
          <w:shd w:val="clear" w:fill="FFFFFF"/>
          <w:lang w:val="en-US" w:eastAsia="zh-CN" w:bidi="ar"/>
        </w:rPr>
      </w:pPr>
      <w:r>
        <w:rPr>
          <w:rFonts w:hint="eastAsia" w:ascii="微软雅黑" w:hAnsi="微软雅黑" w:eastAsia="微软雅黑" w:cs="微软雅黑"/>
          <w:i w:val="0"/>
          <w:caps w:val="0"/>
          <w:color w:val="auto"/>
          <w:spacing w:val="0"/>
          <w:kern w:val="0"/>
          <w:sz w:val="24"/>
          <w:szCs w:val="24"/>
          <w:shd w:val="clear" w:fill="FFFFFF"/>
          <w:lang w:val="en-US" w:eastAsia="zh-CN" w:bidi="ar"/>
        </w:rPr>
        <w:t>主要分以下两种方式。</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right="0" w:rightChars="0" w:firstLine="480" w:firstLineChars="200"/>
        <w:jc w:val="left"/>
        <w:rPr>
          <w:rFonts w:hint="eastAsia" w:ascii="微软雅黑" w:hAnsi="微软雅黑" w:eastAsia="微软雅黑" w:cs="微软雅黑"/>
          <w:b/>
          <w:bCs/>
          <w:i w:val="0"/>
          <w:caps w:val="0"/>
          <w:color w:val="000000"/>
          <w:spacing w:val="0"/>
          <w:sz w:val="24"/>
          <w:szCs w:val="24"/>
          <w:shd w:val="clear" w:fill="FFFFFF"/>
          <w:lang w:val="en-US" w:eastAsia="zh-CN"/>
        </w:rPr>
      </w:pPr>
      <w:r>
        <w:rPr>
          <w:rFonts w:hint="eastAsia" w:ascii="微软雅黑" w:hAnsi="微软雅黑" w:eastAsia="微软雅黑" w:cs="微软雅黑"/>
          <w:b/>
          <w:bCs/>
          <w:i w:val="0"/>
          <w:caps w:val="0"/>
          <w:color w:val="000000"/>
          <w:spacing w:val="0"/>
          <w:sz w:val="24"/>
          <w:szCs w:val="24"/>
          <w:shd w:val="clear" w:fill="FFFFFF"/>
          <w:lang w:val="en-US" w:eastAsia="zh-CN"/>
        </w:rPr>
        <w:t>1、企业先返款至学校，学校财务再开发票至企业（需填开票信息表）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收到企业通知已返款至学校帐户，可至财务吴丽萍老师处找回企业打款回单。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（2）与企业负责人联系，要到对方单位的发票信息、开票类型、开票内容等。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（3）确定好开票金额，（每个项目的开票金额详见附件1），填写好开票信息登记表，开票内容一般为考务费，如有企业提出开其它名称，需和签订的协议对应，并在开票内容里注明。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（4）准备好该项目的协议（如为第一次开票，需至1202办公室找廖老师领取该协议的原稿1份。）、费用结算表、开票信息表交至财务处张华媚老师处。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（5）财务处张老师开出发票至项目负责人邮箱后，项目负责人可下载发给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企业，命名为“**年证书名称（级别）1+X证书返款发票-金额”再通过OA协同至教务处（自定义流程：经办人—教务处廖宏英老师） 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24" w:lineRule="atLeast"/>
        <w:ind w:right="0" w:firstLine="480" w:firstLineChars="200"/>
        <w:jc w:val="left"/>
        <w:rPr>
          <w:rFonts w:hint="default" w:ascii="微软雅黑" w:hAnsi="微软雅黑" w:eastAsia="微软雅黑" w:cs="微软雅黑"/>
          <w:b/>
          <w:bCs/>
          <w:i w:val="0"/>
          <w:caps w:val="0"/>
          <w:color w:val="000000"/>
          <w:spacing w:val="0"/>
          <w:sz w:val="24"/>
          <w:szCs w:val="24"/>
          <w:shd w:val="clear" w:fill="FFFFFF"/>
          <w:lang w:val="en-US" w:eastAsia="zh-CN"/>
        </w:rPr>
      </w:pPr>
      <w:r>
        <w:rPr>
          <w:rFonts w:hint="eastAsia" w:ascii="微软雅黑" w:hAnsi="微软雅黑" w:eastAsia="微软雅黑" w:cs="微软雅黑"/>
          <w:b/>
          <w:bCs/>
          <w:i w:val="0"/>
          <w:caps w:val="0"/>
          <w:color w:val="000000"/>
          <w:spacing w:val="0"/>
          <w:sz w:val="24"/>
          <w:szCs w:val="24"/>
          <w:shd w:val="clear" w:fill="FFFFFF"/>
          <w:lang w:val="en-US" w:eastAsia="zh-CN"/>
        </w:rPr>
        <w:t>2、企业要求学校先开发票，后返款。（需借开发票）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 确定好企业要求先开发票，再返款。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（2）与企业负责人联系，确定好借票日期及计划到帐日期。要到对方单位的发票信息、开票类型、开票内容等。填写好财务编码：1005-210114034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（3）确定好开票金额（每个项目的开票金额详见附件1），填写好借发票单，开票内容一般为考务费，如有企业提出开其它名称，需和签订的协议一一对应，并在开票内容里注明。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（4）将已填好的借发票单，至教务处1208办公室找蔡中兴副处长签名审核。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（5）准备好该项目的协议（如为第一次开票，需至1202办公室找廖老师领取该协议的原稿1份。 一般2023年新签订的协议为第一次开票，其它年份签订的协议不需要协议原稿，可参考附件2直接打印）、费用结算表、借发票单交至财务张华媚老师处。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（6）财务处张老师开出发票至项目负责人邮箱后，项目负责人可下载发给企业，命名为“**年证书名称（级别）1+X证书返款借开发票-金额”再通过OA协同至教务处（自定义流程：经办人—教务处廖宏英老师） 提交。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（7）与企业密切联系，催企业在计划到帐时间内及时返款，如收到企业发回返款信息，至财务吴丽萍老师处找回企业打款回单，将打款回单交至张华媚老师处。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以上步骤完成，请将项目负责人与企业联系人确定返款已收到的聊天记录截图发至教务处廖老师QQ，（QQ号：21504896）</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198" w:leftChars="342" w:hanging="480" w:hanging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1、所有经费返还至学校对公帐户，我们学校的对公帐户信息如下:</w:t>
      </w:r>
      <w:r>
        <w:rPr>
          <w:rFonts w:hint="eastAsia" w:ascii="微软雅黑" w:hAnsi="微软雅黑" w:eastAsia="微软雅黑" w:cs="微软雅黑"/>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名称：广州番禺职业技术学院</w:t>
      </w:r>
      <w:r>
        <w:rPr>
          <w:rFonts w:hint="eastAsia" w:ascii="微软雅黑" w:hAnsi="微软雅黑" w:eastAsia="微软雅黑" w:cs="微软雅黑"/>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纳税人识别号：12440100455413506N</w:t>
      </w:r>
      <w:r>
        <w:rPr>
          <w:rFonts w:hint="eastAsia" w:ascii="微软雅黑" w:hAnsi="微软雅黑" w:eastAsia="微软雅黑" w:cs="微软雅黑"/>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开户行：中国银行股份有限公司广州番禺中华大道支行</w:t>
      </w:r>
      <w:r>
        <w:rPr>
          <w:rFonts w:hint="eastAsia" w:ascii="微软雅黑" w:hAnsi="微软雅黑" w:eastAsia="微软雅黑" w:cs="微软雅黑"/>
          <w:i w:val="0"/>
          <w:caps w:val="0"/>
          <w:color w:val="000000"/>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账号：652265310078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2、我校开票的税点统一为3%，可开电子普通发票及电子专用发票。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p>
    <w:p>
      <w:pPr>
        <w:numPr>
          <w:ilvl w:val="0"/>
          <w:numId w:val="0"/>
        </w:numPr>
        <w:tabs>
          <w:tab w:val="left" w:pos="2537"/>
        </w:tabs>
        <w:ind w:leftChars="0"/>
        <w:jc w:val="both"/>
        <w:rPr>
          <w:rFonts w:hint="eastAsia" w:ascii="微软雅黑" w:hAnsi="微软雅黑" w:eastAsia="微软雅黑" w:cs="微软雅黑"/>
          <w:b/>
          <w:bCs/>
          <w:i w:val="0"/>
          <w:caps w:val="0"/>
          <w:color w:val="0000FF"/>
          <w:spacing w:val="0"/>
          <w:kern w:val="0"/>
          <w:sz w:val="24"/>
          <w:szCs w:val="24"/>
          <w:shd w:val="clear" w:fill="FFFFFF"/>
          <w:lang w:val="en-US" w:eastAsia="zh-CN" w:bidi="ar"/>
        </w:rPr>
      </w:pPr>
      <w:r>
        <w:rPr>
          <w:rFonts w:hint="eastAsia" w:ascii="微软雅黑" w:hAnsi="微软雅黑" w:eastAsia="微软雅黑" w:cs="微软雅黑"/>
          <w:b/>
          <w:bCs/>
          <w:i w:val="0"/>
          <w:caps w:val="0"/>
          <w:color w:val="0000FF"/>
          <w:spacing w:val="0"/>
          <w:kern w:val="0"/>
          <w:sz w:val="24"/>
          <w:szCs w:val="24"/>
          <w:shd w:val="clear" w:fill="FFFFFF"/>
          <w:lang w:val="en-US" w:eastAsia="zh-CN" w:bidi="ar"/>
        </w:rPr>
        <w:t>三、1+X证书用餐申请及餐费报销指引</w:t>
      </w:r>
    </w:p>
    <w:p>
      <w:pPr>
        <w:numPr>
          <w:ilvl w:val="0"/>
          <w:numId w:val="0"/>
        </w:numPr>
        <w:rPr>
          <w:rFonts w:hint="eastAsia" w:ascii="宋体" w:hAnsi="宋体" w:eastAsia="宋体" w:cs="宋体"/>
          <w:sz w:val="24"/>
          <w:szCs w:val="24"/>
          <w:lang w:eastAsia="zh-CN"/>
        </w:rPr>
      </w:pPr>
    </w:p>
    <w:p>
      <w:pPr>
        <w:numPr>
          <w:ilvl w:val="0"/>
          <w:numId w:val="0"/>
        </w:numPr>
        <w:ind w:firstLine="482" w:firstLineChars="200"/>
        <w:rPr>
          <w:rFonts w:hint="eastAsia"/>
          <w:b/>
          <w:bCs/>
          <w:sz w:val="24"/>
          <w:szCs w:val="24"/>
        </w:rPr>
      </w:pPr>
      <w:r>
        <w:rPr>
          <w:rFonts w:hint="eastAsia"/>
          <w:b/>
          <w:bCs/>
          <w:sz w:val="24"/>
          <w:szCs w:val="24"/>
          <w:lang w:val="en-US" w:eastAsia="zh-CN"/>
        </w:rPr>
        <w:t>1、用餐申请</w:t>
      </w:r>
    </w:p>
    <w:p>
      <w:pPr>
        <w:numPr>
          <w:ilvl w:val="0"/>
          <w:numId w:val="0"/>
        </w:numPr>
        <w:rPr>
          <w:rFonts w:hint="eastAsia"/>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用餐申请：登录OA—协同工作（新建事项），如下图写明考试时间，申请原因，用餐标准及数量，新建流程（项目负责人—教务处（廖宏英）—教务处（蔡中兴副处长）—欧阳丽校长—计划财务处（陈红艳处长），走完流程便可打印。</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6252845" cy="2369820"/>
            <wp:effectExtent l="0" t="0" r="14605"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6252845" cy="236982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注：（1） 用餐申请一定要在考试前提交，否则不符合财务报销规定，没有用餐申请就无法报销餐费。用餐人数需确定好，不能超过预算。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校内用餐标准为：早餐：20元/份，午餐：25元/份。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960" w:firstLineChars="4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（2）用餐申请需上传以下2个附件：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OA发布1+X考试通知（PDF文件）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outlineLvl w:val="9"/>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用餐名单（详见附件）</w:t>
      </w:r>
    </w:p>
    <w:p>
      <w:pPr>
        <w:widowControl w:val="0"/>
        <w:numPr>
          <w:ilvl w:val="0"/>
          <w:numId w:val="0"/>
        </w:numPr>
        <w:jc w:val="both"/>
        <w:rPr>
          <w:rFonts w:hint="eastAsia"/>
          <w:lang w:val="en-US" w:eastAsia="zh-CN"/>
        </w:rPr>
      </w:pPr>
    </w:p>
    <w:p>
      <w:pPr>
        <w:widowControl w:val="0"/>
        <w:numPr>
          <w:ilvl w:val="0"/>
          <w:numId w:val="0"/>
        </w:numPr>
        <w:jc w:val="both"/>
        <w:rPr>
          <w:rFonts w:hint="eastAsia" w:ascii="微软雅黑" w:hAnsi="微软雅黑" w:eastAsia="微软雅黑" w:cs="微软雅黑"/>
          <w:b/>
          <w:bCs/>
          <w:lang w:val="en-US" w:eastAsia="zh-CN"/>
        </w:rPr>
      </w:pPr>
    </w:p>
    <w:p>
      <w:pPr>
        <w:widowControl w:val="0"/>
        <w:numPr>
          <w:ilvl w:val="0"/>
          <w:numId w:val="0"/>
        </w:numPr>
        <w:jc w:val="both"/>
        <w:rPr>
          <w:rFonts w:hint="eastAsia" w:ascii="微软雅黑" w:hAnsi="微软雅黑" w:eastAsia="微软雅黑" w:cs="微软雅黑"/>
          <w:b/>
          <w:bCs/>
          <w:lang w:val="en-US" w:eastAsia="zh-CN"/>
        </w:rPr>
      </w:pPr>
    </w:p>
    <w:p>
      <w:pPr>
        <w:widowControl w:val="0"/>
        <w:numPr>
          <w:ilvl w:val="0"/>
          <w:numId w:val="0"/>
        </w:numPr>
        <w:jc w:val="both"/>
        <w:rPr>
          <w:rFonts w:hint="eastAsia" w:ascii="微软雅黑" w:hAnsi="微软雅黑" w:eastAsia="微软雅黑" w:cs="微软雅黑"/>
          <w:b/>
          <w:bCs/>
          <w:lang w:val="en-US" w:eastAsia="zh-CN"/>
        </w:rPr>
      </w:pPr>
    </w:p>
    <w:p>
      <w:pPr>
        <w:widowControl w:val="0"/>
        <w:numPr>
          <w:ilvl w:val="0"/>
          <w:numId w:val="0"/>
        </w:numPr>
        <w:ind w:firstLine="240" w:firstLineChars="100"/>
        <w:jc w:val="both"/>
        <w:rPr>
          <w:rFonts w:hint="eastAsia" w:ascii="微软雅黑" w:hAnsi="微软雅黑" w:eastAsia="微软雅黑" w:cs="微软雅黑"/>
          <w:sz w:val="24"/>
          <w:szCs w:val="24"/>
          <w:lang w:val="en-US" w:eastAsia="zh-CN"/>
        </w:rPr>
      </w:pPr>
      <w:r>
        <w:rPr>
          <w:rFonts w:hint="eastAsia" w:ascii="微软雅黑" w:hAnsi="微软雅黑" w:eastAsia="微软雅黑" w:cs="微软雅黑"/>
          <w:b/>
          <w:bCs/>
          <w:sz w:val="24"/>
          <w:szCs w:val="24"/>
          <w:lang w:val="en-US" w:eastAsia="zh-CN"/>
        </w:rPr>
        <w:t>2、餐费报销</w:t>
      </w:r>
    </w:p>
    <w:p>
      <w:pPr>
        <w:numPr>
          <w:ilvl w:val="0"/>
          <w:numId w:val="0"/>
        </w:numPr>
        <w:ind w:firstLine="240" w:firstLineChars="1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经费名称：  1+X证书考核费返还款       经费编码： 210114034</w:t>
      </w:r>
    </w:p>
    <w:p>
      <w:pPr>
        <w:numPr>
          <w:ilvl w:val="0"/>
          <w:numId w:val="0"/>
        </w:numPr>
        <w:ind w:firstLine="240" w:firstLineChars="1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请用餐申请人打印以下1—5样</w:t>
      </w:r>
      <w:r>
        <w:rPr>
          <w:rFonts w:hint="eastAsia" w:ascii="微软雅黑" w:hAnsi="微软雅黑" w:eastAsia="微软雅黑" w:cs="微软雅黑"/>
          <w:sz w:val="24"/>
          <w:szCs w:val="24"/>
        </w:rPr>
        <w:t>材料</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交至后勤处梁敏老师（联系方式：短号</w:t>
      </w:r>
      <w:r>
        <w:rPr>
          <w:rFonts w:hint="eastAsia" w:ascii="微软雅黑" w:hAnsi="微软雅黑" w:eastAsia="微软雅黑" w:cs="微软雅黑"/>
          <w:i w:val="0"/>
          <w:caps w:val="0"/>
          <w:color w:val="111111"/>
          <w:spacing w:val="0"/>
          <w:sz w:val="24"/>
          <w:szCs w:val="24"/>
          <w:shd w:val="clear" w:fill="E7F2FD"/>
        </w:rPr>
        <w:t xml:space="preserve">672804 </w:t>
      </w:r>
      <w:r>
        <w:rPr>
          <w:rFonts w:hint="eastAsia" w:ascii="微软雅黑" w:hAnsi="微软雅黑" w:eastAsia="微软雅黑" w:cs="微软雅黑"/>
          <w:i w:val="0"/>
          <w:caps w:val="0"/>
          <w:color w:val="111111"/>
          <w:spacing w:val="0"/>
          <w:sz w:val="24"/>
          <w:szCs w:val="24"/>
          <w:shd w:val="clear" w:fill="E7F2FD"/>
          <w:lang w:eastAsia="zh-CN"/>
        </w:rPr>
        <w:t>，</w:t>
      </w:r>
      <w:r>
        <w:rPr>
          <w:rFonts w:hint="eastAsia" w:ascii="微软雅黑" w:hAnsi="微软雅黑" w:eastAsia="微软雅黑" w:cs="微软雅黑"/>
          <w:i w:val="0"/>
          <w:caps w:val="0"/>
          <w:color w:val="111111"/>
          <w:spacing w:val="0"/>
          <w:sz w:val="24"/>
          <w:szCs w:val="24"/>
          <w:shd w:val="clear" w:fill="E7F2FD"/>
          <w:lang w:val="en-US" w:eastAsia="zh-CN"/>
        </w:rPr>
        <w:t>长号：</w:t>
      </w:r>
      <w:r>
        <w:rPr>
          <w:rFonts w:hint="eastAsia" w:ascii="微软雅黑" w:hAnsi="微软雅黑" w:eastAsia="微软雅黑" w:cs="微软雅黑"/>
          <w:i w:val="0"/>
          <w:caps w:val="0"/>
          <w:color w:val="111111"/>
          <w:spacing w:val="0"/>
          <w:sz w:val="24"/>
          <w:szCs w:val="24"/>
          <w:shd w:val="clear" w:fill="E7F2FD"/>
        </w:rPr>
        <w:t>13609062804  </w:t>
      </w:r>
      <w:r>
        <w:rPr>
          <w:rFonts w:hint="eastAsia" w:ascii="微软雅黑" w:hAnsi="微软雅黑" w:eastAsia="微软雅黑" w:cs="微软雅黑"/>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（1）用餐</w:t>
      </w:r>
      <w:r>
        <w:rPr>
          <w:rFonts w:hint="eastAsia" w:ascii="微软雅黑" w:hAnsi="微软雅黑" w:eastAsia="微软雅黑" w:cs="微软雅黑"/>
          <w:sz w:val="24"/>
          <w:szCs w:val="24"/>
        </w:rPr>
        <w:t>申请</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打印盖教务处章，蔡中兴副处长签名</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OA</w:t>
      </w:r>
      <w:r>
        <w:rPr>
          <w:rFonts w:hint="eastAsia" w:ascii="微软雅黑" w:hAnsi="微软雅黑" w:eastAsia="微软雅黑" w:cs="微软雅黑"/>
          <w:sz w:val="24"/>
          <w:szCs w:val="24"/>
          <w:lang w:val="en-US" w:eastAsia="zh-CN"/>
        </w:rPr>
        <w:t>发布1+X考试</w:t>
      </w:r>
      <w:r>
        <w:rPr>
          <w:rFonts w:hint="eastAsia" w:ascii="微软雅黑" w:hAnsi="微软雅黑" w:eastAsia="微软雅黑" w:cs="微软雅黑"/>
          <w:sz w:val="24"/>
          <w:szCs w:val="24"/>
        </w:rPr>
        <w:t>通知</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打印盖教务处章</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（3）用餐</w:t>
      </w:r>
      <w:r>
        <w:rPr>
          <w:rFonts w:hint="eastAsia" w:ascii="微软雅黑" w:hAnsi="微软雅黑" w:eastAsia="微软雅黑" w:cs="微软雅黑"/>
          <w:sz w:val="24"/>
          <w:szCs w:val="24"/>
        </w:rPr>
        <w:t>名单（</w:t>
      </w:r>
      <w:r>
        <w:rPr>
          <w:rFonts w:hint="eastAsia" w:ascii="微软雅黑" w:hAnsi="微软雅黑" w:eastAsia="微软雅黑" w:cs="微软雅黑"/>
          <w:sz w:val="24"/>
          <w:szCs w:val="24"/>
          <w:lang w:val="en-US" w:eastAsia="zh-CN"/>
        </w:rPr>
        <w:t>打印盖教务处章，蔡中兴副处长签名</w:t>
      </w:r>
      <w:r>
        <w:rPr>
          <w:rFonts w:hint="eastAsia" w:ascii="微软雅黑" w:hAnsi="微软雅黑" w:eastAsia="微软雅黑" w:cs="微软雅黑"/>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发票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打印，正面盖报销章，有（经办人，证明人，验收人）签名</w:t>
      </w:r>
      <w:r>
        <w:rPr>
          <w:rFonts w:hint="eastAsia" w:ascii="微软雅黑" w:hAnsi="微软雅黑" w:eastAsia="微软雅黑" w:cs="微软雅黑"/>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（5）广州番禺职业技术学院食堂订餐结算单</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由用餐申请人填写，用餐部门由二级学院盖章，结算单里项目负责人请蔡中兴副处长签名</w:t>
      </w:r>
      <w:r>
        <w:rPr>
          <w:rFonts w:hint="eastAsia" w:ascii="微软雅黑" w:hAnsi="微软雅黑" w:eastAsia="微软雅黑" w:cs="微软雅黑"/>
          <w:sz w:val="24"/>
          <w:szCs w:val="24"/>
          <w:lang w:eastAsia="zh-CN"/>
        </w:rPr>
        <w:t>）</w:t>
      </w:r>
    </w:p>
    <w:p>
      <w:pPr>
        <w:rPr>
          <w:rFonts w:hint="eastAsia"/>
        </w:rPr>
      </w:pPr>
    </w:p>
    <w:p>
      <w:pPr>
        <w:numPr>
          <w:ilvl w:val="0"/>
          <w:numId w:val="0"/>
        </w:numPr>
        <w:rPr>
          <w:rFonts w:hint="eastAsia" w:ascii="宋体" w:hAnsi="宋体" w:eastAsia="宋体" w:cs="宋体"/>
          <w:sz w:val="24"/>
          <w:szCs w:val="24"/>
          <w:lang w:eastAsia="zh-CN"/>
        </w:rPr>
      </w:pPr>
      <w:r>
        <w:rPr>
          <w:rFonts w:hint="eastAsia" w:eastAsiaTheme="minorEastAsia"/>
          <w:lang w:eastAsia="zh-CN"/>
        </w:rPr>
        <w:drawing>
          <wp:inline distT="0" distB="0" distL="114300" distR="114300">
            <wp:extent cx="5509260" cy="3462020"/>
            <wp:effectExtent l="0" t="0" r="15240" b="5080"/>
            <wp:docPr id="3" name="图片 3" descr="168714104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87141040005"/>
                    <pic:cNvPicPr>
                      <a:picLocks noChangeAspect="1"/>
                    </pic:cNvPicPr>
                  </pic:nvPicPr>
                  <pic:blipFill>
                    <a:blip r:embed="rId8"/>
                    <a:stretch>
                      <a:fillRect/>
                    </a:stretch>
                  </pic:blipFill>
                  <pic:spPr>
                    <a:xfrm>
                      <a:off x="0" y="0"/>
                      <a:ext cx="5509260" cy="3462020"/>
                    </a:xfrm>
                    <a:prstGeom prst="rect">
                      <a:avLst/>
                    </a:prstGeom>
                  </pic:spPr>
                </pic:pic>
              </a:graphicData>
            </a:graphic>
          </wp:inline>
        </w:drawing>
      </w:r>
    </w:p>
    <w:p>
      <w:pPr>
        <w:numPr>
          <w:ilvl w:val="0"/>
          <w:numId w:val="0"/>
        </w:numPr>
        <w:rPr>
          <w:rFonts w:hint="eastAsia" w:ascii="宋体" w:hAnsi="宋体" w:eastAsia="宋体" w:cs="宋体"/>
          <w:sz w:val="24"/>
          <w:szCs w:val="24"/>
          <w:lang w:eastAsia="zh-CN"/>
        </w:rPr>
      </w:pPr>
    </w:p>
    <w:p>
      <w:pPr>
        <w:numPr>
          <w:ilvl w:val="0"/>
          <w:numId w:val="0"/>
        </w:numPr>
        <w:rPr>
          <w:rFonts w:hint="eastAsia" w:ascii="宋体" w:hAnsi="宋体" w:eastAsia="宋体" w:cs="宋体"/>
          <w:sz w:val="24"/>
          <w:szCs w:val="24"/>
          <w:lang w:eastAsia="zh-CN"/>
        </w:rPr>
      </w:pPr>
    </w:p>
    <w:p>
      <w:pPr>
        <w:numPr>
          <w:ilvl w:val="0"/>
          <w:numId w:val="0"/>
        </w:numPr>
        <w:rPr>
          <w:rFonts w:hint="eastAsia" w:ascii="宋体" w:hAnsi="宋体" w:eastAsia="宋体" w:cs="宋体"/>
          <w:sz w:val="24"/>
          <w:szCs w:val="24"/>
          <w:lang w:eastAsia="zh-CN"/>
        </w:rPr>
      </w:pPr>
    </w:p>
    <w:p>
      <w:pPr>
        <w:numPr>
          <w:ilvl w:val="0"/>
          <w:numId w:val="0"/>
        </w:numPr>
        <w:rPr>
          <w:rFonts w:hint="eastAsia" w:ascii="宋体" w:hAnsi="宋体" w:eastAsia="宋体" w:cs="宋体"/>
          <w:sz w:val="24"/>
          <w:szCs w:val="24"/>
          <w:lang w:eastAsia="zh-CN"/>
        </w:rPr>
      </w:pPr>
    </w:p>
    <w:p>
      <w:pPr>
        <w:numPr>
          <w:ilvl w:val="0"/>
          <w:numId w:val="0"/>
        </w:numPr>
        <w:rPr>
          <w:rFonts w:hint="eastAsia" w:ascii="宋体" w:hAnsi="宋体" w:eastAsia="宋体" w:cs="宋体"/>
          <w:sz w:val="24"/>
          <w:szCs w:val="24"/>
          <w:lang w:eastAsia="zh-CN"/>
        </w:rPr>
      </w:pPr>
    </w:p>
    <w:p>
      <w:pPr>
        <w:numPr>
          <w:ilvl w:val="0"/>
          <w:numId w:val="0"/>
        </w:numPr>
        <w:tabs>
          <w:tab w:val="left" w:pos="2537"/>
        </w:tabs>
        <w:ind w:leftChars="0"/>
        <w:jc w:val="both"/>
        <w:rPr>
          <w:rFonts w:hint="eastAsia" w:ascii="微软雅黑" w:hAnsi="微软雅黑" w:eastAsia="微软雅黑" w:cs="微软雅黑"/>
          <w:b/>
          <w:bCs/>
          <w:i w:val="0"/>
          <w:caps w:val="0"/>
          <w:color w:val="0000FF"/>
          <w:spacing w:val="0"/>
          <w:kern w:val="0"/>
          <w:sz w:val="24"/>
          <w:szCs w:val="24"/>
          <w:shd w:val="clear" w:fill="FFFFFF"/>
          <w:lang w:val="en-US" w:eastAsia="zh-CN" w:bidi="ar"/>
        </w:rPr>
      </w:pPr>
      <w:r>
        <w:rPr>
          <w:rFonts w:hint="eastAsia" w:ascii="微软雅黑" w:hAnsi="微软雅黑" w:eastAsia="微软雅黑" w:cs="微软雅黑"/>
          <w:b/>
          <w:bCs/>
          <w:i w:val="0"/>
          <w:caps w:val="0"/>
          <w:color w:val="0000FF"/>
          <w:spacing w:val="0"/>
          <w:kern w:val="0"/>
          <w:sz w:val="24"/>
          <w:szCs w:val="24"/>
          <w:shd w:val="clear" w:fill="FFFFFF"/>
          <w:lang w:val="en-US" w:eastAsia="zh-CN" w:bidi="ar"/>
        </w:rPr>
        <w:t>四、1+X证书考务费结算指引</w:t>
      </w:r>
    </w:p>
    <w:p>
      <w:pPr>
        <w:numPr>
          <w:ilvl w:val="0"/>
          <w:numId w:val="0"/>
        </w:numPr>
        <w:ind w:firstLine="480" w:firstLineChars="200"/>
        <w:rPr>
          <w:rFonts w:hint="eastAsia" w:ascii="微软雅黑" w:hAnsi="微软雅黑" w:eastAsia="微软雅黑" w:cs="微软雅黑"/>
          <w:color w:val="FF0000"/>
          <w:sz w:val="24"/>
          <w:szCs w:val="24"/>
          <w:lang w:val="en-US" w:eastAsia="zh-CN"/>
        </w:rPr>
      </w:pPr>
      <w:r>
        <w:rPr>
          <w:rFonts w:hint="eastAsia" w:ascii="微软雅黑" w:hAnsi="微软雅黑" w:eastAsia="微软雅黑" w:cs="微软雅黑"/>
          <w:color w:val="FF0000"/>
          <w:sz w:val="24"/>
          <w:szCs w:val="24"/>
          <w:lang w:val="en-US" w:eastAsia="zh-CN"/>
        </w:rPr>
        <w:t>注：如该1+X证书已正常开考，学生完成考试，且完成了向企业支付，催企业返款等报销工作，可向监考老师结算该证书产生的考务费用。</w:t>
      </w:r>
    </w:p>
    <w:p>
      <w:pPr>
        <w:spacing w:line="56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一、根据我校2023年印发的《广州番禺职业技术学院“1+X”职业技能等级证书管理办法》（番职教〔2023〕19号文）文件第二十二条，考务工作人员劳务费标准如下：</w:t>
      </w:r>
    </w:p>
    <w:p>
      <w:pPr>
        <w:spacing w:line="56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（1）主考、监考员、机房管理（技术支持）员、实训室管理员等考务工作人员统一按每人每场次200元的标准计发监考费。</w:t>
      </w:r>
    </w:p>
    <w:p>
      <w:pPr>
        <w:spacing w:line="56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（2）考评员按培训评价组织（公司）相关文件规定的标准计发考评费，没有设定考评费标准的参照监考员标准发放。</w:t>
      </w:r>
    </w:p>
    <w:p>
      <w:pPr>
        <w:spacing w:line="56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（3）巡考员、督导员、安保人员等按每人每场次100元的标准计发劳务费。</w:t>
      </w:r>
    </w:p>
    <w:p>
      <w:pPr>
        <w:spacing w:line="560" w:lineRule="exact"/>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二、根据文件第二十三条，考核场次的计算办法如下：</w:t>
      </w:r>
    </w:p>
    <w:p>
      <w:pPr>
        <w:spacing w:line="560" w:lineRule="exact"/>
        <w:ind w:firstLine="480" w:firstLineChars="200"/>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sz w:val="24"/>
          <w:szCs w:val="24"/>
          <w:lang w:val="en-US" w:eastAsia="zh-CN"/>
        </w:rPr>
        <w:t>考核总时间为2.5小时的，算1场，考核总时间3小时及以上的，算2场。</w:t>
      </w:r>
      <w:r>
        <w:rPr>
          <w:rFonts w:hint="eastAsia" w:ascii="微软雅黑" w:hAnsi="微软雅黑" w:eastAsia="微软雅黑" w:cs="微软雅黑"/>
          <w:b/>
          <w:bCs/>
          <w:sz w:val="24"/>
          <w:szCs w:val="24"/>
          <w:lang w:val="en-US" w:eastAsia="zh-CN"/>
        </w:rPr>
        <w:t>如考试场次多考生人数少需视情况核算场次。</w:t>
      </w:r>
    </w:p>
    <w:p>
      <w:pPr>
        <w:numPr>
          <w:ilvl w:val="0"/>
          <w:numId w:val="0"/>
        </w:num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三、提交资料及费用结算</w:t>
      </w:r>
    </w:p>
    <w:p>
      <w:pPr>
        <w:numPr>
          <w:ilvl w:val="0"/>
          <w:numId w:val="0"/>
        </w:num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 各项目负责人收齐以下资料并扫描做为附件上传，原件上交教务处考务科廖老师处：</w:t>
      </w:r>
    </w:p>
    <w:p>
      <w:pPr>
        <w:numPr>
          <w:ilvl w:val="0"/>
          <w:numId w:val="0"/>
        </w:num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（1）OA已发布的该1+X证书的考试通知</w:t>
      </w:r>
    </w:p>
    <w:p>
      <w:pPr>
        <w:numPr>
          <w:ilvl w:val="0"/>
          <w:numId w:val="0"/>
        </w:num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（2）广州番禺职业技术学院1+X证书考场记录表（模版见附件</w:t>
      </w:r>
      <w:r>
        <w:rPr>
          <w:rFonts w:hint="eastAsia" w:ascii="微软雅黑" w:hAnsi="微软雅黑" w:eastAsia="微软雅黑" w:cs="微软雅黑"/>
          <w:color w:val="00B0F0"/>
          <w:sz w:val="24"/>
          <w:szCs w:val="24"/>
          <w:lang w:val="en-US" w:eastAsia="zh-CN"/>
        </w:rPr>
        <w:t>1</w:t>
      </w:r>
      <w:r>
        <w:rPr>
          <w:rFonts w:hint="eastAsia" w:ascii="微软雅黑" w:hAnsi="微软雅黑" w:eastAsia="微软雅黑" w:cs="微软雅黑"/>
          <w:sz w:val="24"/>
          <w:szCs w:val="24"/>
          <w:lang w:val="en-US" w:eastAsia="zh-CN"/>
        </w:rPr>
        <w:t>）</w:t>
      </w:r>
    </w:p>
    <w:p>
      <w:pPr>
        <w:numPr>
          <w:ilvl w:val="0"/>
          <w:numId w:val="0"/>
        </w:num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（3）广州番禺职业技术学院1+X证书学生签到表（从1+X证书系统导出）</w:t>
      </w:r>
    </w:p>
    <w:p>
      <w:pPr>
        <w:numPr>
          <w:ilvl w:val="0"/>
          <w:numId w:val="0"/>
        </w:numPr>
        <w:ind w:leftChars="300"/>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sz w:val="24"/>
          <w:szCs w:val="24"/>
          <w:lang w:val="en-US" w:eastAsia="zh-CN"/>
        </w:rPr>
        <w:t>2. 各项目负责人对照1+X证书项目申报汇总表，根据收集好的1+X证书考场记录表和1+X证书考生签到表计算好监考和劳务费</w:t>
      </w:r>
      <w:r>
        <w:rPr>
          <w:rFonts w:hint="eastAsia" w:ascii="微软雅黑" w:hAnsi="微软雅黑" w:eastAsia="微软雅黑" w:cs="微软雅黑"/>
          <w:b w:val="0"/>
          <w:bCs w:val="0"/>
          <w:color w:val="auto"/>
          <w:sz w:val="24"/>
          <w:szCs w:val="24"/>
          <w:lang w:val="en-US" w:eastAsia="zh-CN"/>
        </w:rPr>
        <w:t>，在OA发起《广州番禺职业技术学院校内人员绩效工资（劳务酬金）审批发放表（非科研项目）》，上传该证书的OA已发布考试通知、考场记录表、1+X证书考生签到表作为佐证，提交流程为：发起人-项目负责人(选择教务处-廖宏英)-发起人部门领导-项目经费负责人（选择教务处-蔡中兴），项目名称为“</w:t>
      </w:r>
      <w:r>
        <w:rPr>
          <w:rFonts w:hint="eastAsia" w:ascii="微软雅黑" w:hAnsi="微软雅黑" w:eastAsia="微软雅黑" w:cs="微软雅黑"/>
          <w:sz w:val="24"/>
          <w:szCs w:val="24"/>
          <w:lang w:val="en-US" w:eastAsia="zh-CN"/>
        </w:rPr>
        <w:t>****年度****证书（*级）考试考务费</w:t>
      </w:r>
      <w:r>
        <w:rPr>
          <w:rFonts w:hint="eastAsia" w:ascii="微软雅黑" w:hAnsi="微软雅黑" w:eastAsia="微软雅黑" w:cs="微软雅黑"/>
          <w:b w:val="0"/>
          <w:bCs w:val="0"/>
          <w:color w:val="auto"/>
          <w:sz w:val="24"/>
          <w:szCs w:val="24"/>
          <w:lang w:val="en-US" w:eastAsia="zh-CN"/>
        </w:rPr>
        <w:t>”，经费来源为“其它”，项目摘要可简要概括为“根据</w:t>
      </w:r>
      <w:r>
        <w:rPr>
          <w:rFonts w:hint="eastAsia" w:ascii="微软雅黑" w:hAnsi="微软雅黑" w:eastAsia="微软雅黑" w:cs="微软雅黑"/>
          <w:sz w:val="24"/>
          <w:szCs w:val="24"/>
          <w:lang w:val="en-US" w:eastAsia="zh-CN"/>
        </w:rPr>
        <w:t>《广州番禺职业技术学院“1+X”职业技能等级证书管理办法》（番职教〔2023〕19号文）</w:t>
      </w:r>
      <w:r>
        <w:rPr>
          <w:rFonts w:hint="eastAsia" w:ascii="微软雅黑" w:hAnsi="微软雅黑" w:eastAsia="微软雅黑" w:cs="微软雅黑"/>
          <w:b w:val="0"/>
          <w:bCs w:val="0"/>
          <w:color w:val="auto"/>
          <w:sz w:val="24"/>
          <w:szCs w:val="24"/>
          <w:lang w:val="en-US" w:eastAsia="zh-CN"/>
        </w:rPr>
        <w:t>，现为***学院参与****年度****1+X证书（*级）考试监考的教师发放监考和劳务费共计***元。”</w:t>
      </w:r>
    </w:p>
    <w:p>
      <w:pPr>
        <w:numPr>
          <w:ilvl w:val="0"/>
          <w:numId w:val="0"/>
        </w:numPr>
        <w:ind w:leftChars="3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四、注意事项</w:t>
      </w:r>
    </w:p>
    <w:p>
      <w:pPr>
        <w:numPr>
          <w:ilvl w:val="0"/>
          <w:numId w:val="0"/>
        </w:numPr>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1+X证书考场记录表、考生签到表</w:t>
      </w:r>
      <w:r>
        <w:rPr>
          <w:rFonts w:hint="eastAsia" w:ascii="微软雅黑" w:hAnsi="微软雅黑" w:eastAsia="微软雅黑" w:cs="微软雅黑"/>
          <w:b w:val="0"/>
          <w:bCs w:val="0"/>
          <w:color w:val="auto"/>
          <w:sz w:val="24"/>
          <w:szCs w:val="24"/>
          <w:lang w:val="en-US" w:eastAsia="zh-CN"/>
        </w:rPr>
        <w:t>作为监考费发放的佐证，要确保信息全面、准确，以便于复核。</w:t>
      </w:r>
    </w:p>
    <w:p>
      <w:pPr>
        <w:numPr>
          <w:ilvl w:val="0"/>
          <w:numId w:val="0"/>
        </w:numPr>
        <w:ind w:leftChars="3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附件</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1、2023年跨境电商B2C数据运营（中级）报考情况表</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2、2021及2022年界面设计（中级）费用结算表</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3、开票信息表（20240112空白）</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4、借发票单（20240112空白）</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5、用餐名单</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6、订餐结算单</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7、广州番禺职业技术学院1+x证书考场记录表-2023版</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8、1+X证书考生签到表（从系统导出）</w:t>
      </w:r>
    </w:p>
    <w:p>
      <w:pPr>
        <w:numPr>
          <w:ilvl w:val="0"/>
          <w:numId w:val="0"/>
        </w:numPr>
        <w:ind w:leftChars="300" w:firstLine="42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9、OA发起校内人员绩效工资（劳务酬金）审批发放表导入的模板</w:t>
      </w:r>
    </w:p>
    <w:p>
      <w:pPr>
        <w:numPr>
          <w:ilvl w:val="0"/>
          <w:numId w:val="0"/>
        </w:numPr>
        <w:ind w:leftChars="300"/>
        <w:rPr>
          <w:rFonts w:hint="eastAsia" w:ascii="微软雅黑" w:hAnsi="微软雅黑" w:eastAsia="微软雅黑" w:cs="微软雅黑"/>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15920"/>
    <w:rsid w:val="12AE20C6"/>
    <w:rsid w:val="1BA158A9"/>
    <w:rsid w:val="1DE82D53"/>
    <w:rsid w:val="3E5C0F29"/>
    <w:rsid w:val="463E4746"/>
    <w:rsid w:val="52A1151A"/>
    <w:rsid w:val="5D4F0408"/>
    <w:rsid w:val="62D276B2"/>
    <w:rsid w:val="68622499"/>
    <w:rsid w:val="6FFC5E10"/>
    <w:rsid w:val="75892B5D"/>
    <w:rsid w:val="79830EFA"/>
    <w:rsid w:val="7CA56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156</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廖宏英</cp:lastModifiedBy>
  <dcterms:modified xsi:type="dcterms:W3CDTF">2024-05-22T06:16:06Z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